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743159B4" w:rsidR="00FF22A5" w:rsidRDefault="001277CA" w:rsidP="00FF22A5">
      <w:pPr>
        <w:jc w:val="both"/>
        <w:rPr>
          <w:rStyle w:val="BLOCKBOLD"/>
          <w:rFonts w:ascii="Calibri" w:hAnsi="Calibri"/>
        </w:rPr>
      </w:pPr>
      <w:r w:rsidRPr="001277CA">
        <w:rPr>
          <w:rStyle w:val="BLOCKBOLD"/>
          <w:rFonts w:ascii="Calibri" w:hAnsi="Calibri"/>
        </w:rPr>
        <w:t>Procedura negoziata senza previa pubblicazione del bando ex art. 63, comma 2, lett. b del d.lgs. 50/2016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</w:t>
      </w:r>
      <w:r w:rsidRPr="001277CA">
        <w:rPr>
          <w:rStyle w:val="BLOCKBOLD"/>
          <w:rFonts w:ascii="Calibri" w:hAnsi="Calibri"/>
        </w:rPr>
        <w:t>Aggiornamenti e nuove licenze JAWS per Sogei e Dipartimento delle Finanze</w:t>
      </w:r>
      <w:bookmarkStart w:id="0" w:name="_GoBack"/>
      <w:bookmarkEnd w:id="0"/>
      <w:r w:rsidR="00FF22A5" w:rsidRPr="00A007B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30024E0E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1277CA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277CA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2021-11-05T10:07:00Z</dcterms:modified>
</cp:coreProperties>
</file>